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1630B84" w:rsidR="00CD4C7B" w:rsidRPr="00073C22" w:rsidRDefault="003A41EF" w:rsidP="00CD4C7B">
      <w:pPr>
        <w:pStyle w:val="Header"/>
        <w:tabs>
          <w:tab w:val="right" w:pos="9639"/>
        </w:tabs>
        <w:rPr>
          <w:bCs/>
          <w:i/>
          <w:noProof w:val="0"/>
          <w:sz w:val="24"/>
          <w:szCs w:val="24"/>
          <w:lang w:val="en-US"/>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CD4C7B" w:rsidRPr="00B266B0">
        <w:rPr>
          <w:bCs/>
          <w:noProof w:val="0"/>
          <w:sz w:val="24"/>
          <w:szCs w:val="24"/>
        </w:rPr>
        <w:tab/>
      </w:r>
      <w:r w:rsidR="00073C22" w:rsidRPr="00073C22">
        <w:rPr>
          <w:bCs/>
          <w:noProof w:val="0"/>
          <w:sz w:val="24"/>
          <w:szCs w:val="24"/>
        </w:rPr>
        <w:t>R2-1812915</w:t>
      </w:r>
    </w:p>
    <w:p w14:paraId="231362B2" w14:textId="19B5EA9E" w:rsidR="00CD4C7B" w:rsidRPr="00B266B0" w:rsidRDefault="007C2DD0" w:rsidP="00CD4C7B">
      <w:pPr>
        <w:pStyle w:val="Header"/>
        <w:tabs>
          <w:tab w:val="right" w:pos="9639"/>
        </w:tabs>
        <w:rPr>
          <w:bCs/>
          <w:noProof w:val="0"/>
          <w:sz w:val="24"/>
          <w:szCs w:val="24"/>
        </w:rPr>
      </w:pPr>
      <w:r>
        <w:rPr>
          <w:rFonts w:eastAsia="宋体"/>
          <w:noProof w:val="0"/>
          <w:sz w:val="24"/>
          <w:szCs w:val="24"/>
          <w:lang w:eastAsia="zh-CN"/>
        </w:rPr>
        <w:t>Gothenburg</w:t>
      </w:r>
      <w:r w:rsidR="002610D8">
        <w:rPr>
          <w:rFonts w:eastAsia="宋体"/>
          <w:noProof w:val="0"/>
          <w:sz w:val="24"/>
          <w:szCs w:val="24"/>
          <w:lang w:eastAsia="zh-CN"/>
        </w:rPr>
        <w:t xml:space="preserve">, </w:t>
      </w:r>
      <w:r>
        <w:rPr>
          <w:rFonts w:eastAsia="宋体"/>
          <w:noProof w:val="0"/>
          <w:sz w:val="24"/>
          <w:szCs w:val="24"/>
          <w:lang w:eastAsia="zh-CN"/>
        </w:rPr>
        <w:t>Sweden</w:t>
      </w:r>
      <w:r w:rsidR="002610D8">
        <w:rPr>
          <w:rFonts w:eastAsia="宋体"/>
          <w:noProof w:val="0"/>
          <w:sz w:val="24"/>
          <w:szCs w:val="24"/>
          <w:lang w:eastAsia="zh-CN"/>
        </w:rPr>
        <w:t xml:space="preserve">, </w:t>
      </w:r>
      <w:r>
        <w:rPr>
          <w:rFonts w:eastAsia="宋体"/>
          <w:noProof w:val="0"/>
          <w:sz w:val="24"/>
          <w:szCs w:val="24"/>
          <w:lang w:eastAsia="zh-CN"/>
        </w:rPr>
        <w:t>20 - 24 August</w:t>
      </w:r>
      <w:r w:rsidR="002610D8" w:rsidRPr="002610D8">
        <w:rPr>
          <w:rFonts w:eastAsia="宋体"/>
          <w:noProof w:val="0"/>
          <w:sz w:val="24"/>
          <w:szCs w:val="24"/>
          <w:lang w:eastAsia="zh-CN"/>
        </w:rPr>
        <w:t xml:space="preserve"> 2018</w:t>
      </w:r>
      <w:r w:rsidR="00364B41">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D62150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1EC7" w:rsidRPr="00991EC7">
        <w:rPr>
          <w:rFonts w:cs="Arial"/>
          <w:b/>
          <w:bCs/>
          <w:sz w:val="24"/>
          <w:lang w:eastAsia="ja-JP"/>
        </w:rPr>
        <w:t>10.4.4.3</w:t>
      </w:r>
      <w:bookmarkStart w:id="0" w:name="_GoBack"/>
      <w:bookmarkEnd w:id="0"/>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228A4B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83A4A">
        <w:rPr>
          <w:rFonts w:ascii="Arial" w:hAnsi="Arial" w:cs="Arial"/>
          <w:b/>
          <w:bCs/>
          <w:sz w:val="24"/>
        </w:rPr>
        <w:t xml:space="preserve">UE capability on </w:t>
      </w:r>
      <w:r w:rsidR="001F240D">
        <w:rPr>
          <w:rFonts w:ascii="Arial" w:hAnsi="Arial" w:cs="Arial"/>
          <w:b/>
          <w:bCs/>
          <w:sz w:val="24"/>
        </w:rPr>
        <w:t>Need</w:t>
      </w:r>
      <w:r w:rsidR="00F511B2">
        <w:rPr>
          <w:rFonts w:ascii="Arial" w:hAnsi="Arial" w:cs="Arial"/>
          <w:b/>
          <w:bCs/>
          <w:sz w:val="24"/>
        </w:rPr>
        <w:t xml:space="preserve"> </w:t>
      </w:r>
      <w:r w:rsidR="005576E7">
        <w:rPr>
          <w:rFonts w:ascii="Arial" w:hAnsi="Arial" w:cs="Arial"/>
          <w:b/>
          <w:bCs/>
          <w:sz w:val="24"/>
        </w:rPr>
        <w:t>f</w:t>
      </w:r>
      <w:r w:rsidR="001F240D">
        <w:rPr>
          <w:rFonts w:ascii="Arial" w:hAnsi="Arial" w:cs="Arial"/>
          <w:b/>
          <w:bCs/>
          <w:sz w:val="24"/>
        </w:rPr>
        <w:t>or</w:t>
      </w:r>
      <w:r w:rsidR="00F511B2">
        <w:rPr>
          <w:rFonts w:ascii="Arial" w:hAnsi="Arial" w:cs="Arial"/>
          <w:b/>
          <w:bCs/>
          <w:sz w:val="24"/>
        </w:rPr>
        <w:t xml:space="preserve"> </w:t>
      </w:r>
      <w:r w:rsidR="001F240D">
        <w:rPr>
          <w:rFonts w:ascii="Arial" w:hAnsi="Arial" w:cs="Arial"/>
          <w:b/>
          <w:bCs/>
          <w:sz w:val="24"/>
        </w:rPr>
        <w:t>Gap in SA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B57D848" w:rsidR="00CD4C7B" w:rsidRPr="006E13D1" w:rsidRDefault="001F240D" w:rsidP="00CD4C7B">
      <w:r>
        <w:t>In RAN2#102 meeting, RAN2 agreed NeedForGap to NR band capability is not introduced to TS36.331 for EN-DC in Rel-15, but there is no discussion on if NeedForGap UE capability should be supported in SA in Rel-15</w:t>
      </w:r>
      <w:r w:rsidR="0056573F">
        <w:t>.</w:t>
      </w:r>
      <w:r>
        <w:t xml:space="preserve"> This paper raises this issue for discussion.</w:t>
      </w:r>
    </w:p>
    <w:p w14:paraId="127ACA6D" w14:textId="2B6D955D" w:rsidR="00CD4C7B" w:rsidRPr="006E13D1" w:rsidRDefault="00CD4C7B" w:rsidP="00CD4C7B">
      <w:pPr>
        <w:pStyle w:val="Heading1"/>
      </w:pPr>
      <w:r w:rsidRPr="006E13D1">
        <w:t>2</w:t>
      </w:r>
      <w:r w:rsidRPr="006E13D1">
        <w:tab/>
      </w:r>
      <w:r w:rsidR="001F240D">
        <w:t>How network knows UE needs Gap to do measurement</w:t>
      </w:r>
      <w:r w:rsidR="00D505B8">
        <w:t xml:space="preserve"> in SA</w:t>
      </w:r>
    </w:p>
    <w:p w14:paraId="20128CA9" w14:textId="2F3E02D9" w:rsidR="001F240D" w:rsidRDefault="001F240D" w:rsidP="00CD4C7B">
      <w:r>
        <w:t xml:space="preserve">In legacy LTE, </w:t>
      </w:r>
      <w:r w:rsidR="00D505B8">
        <w:t>UE reports</w:t>
      </w:r>
      <w:r>
        <w:t xml:space="preserve"> </w:t>
      </w:r>
      <w:r w:rsidR="00D505B8">
        <w:t xml:space="preserve">all bands and NeedForGap associated with supported band and band combination </w:t>
      </w:r>
      <w:r>
        <w:t>to network by static way. It had contribution in RAN2 [1] [2] to discuss how UE reports NeedForGap based on network indicated band</w:t>
      </w:r>
      <w:r w:rsidR="00D505B8">
        <w:t xml:space="preserve">s that wants UE to measure, which can reduce the reported size but may need </w:t>
      </w:r>
      <w:r w:rsidR="00160F07">
        <w:t>separate</w:t>
      </w:r>
      <w:r w:rsidR="00D505B8">
        <w:t xml:space="preserve"> reconfiguration procedures to fulfil MO</w:t>
      </w:r>
      <w:r w:rsidR="00160F07">
        <w:t xml:space="preserve"> configuration</w:t>
      </w:r>
      <w:r w:rsidR="00D505B8">
        <w:t xml:space="preserve"> and measurement gap configuration.</w:t>
      </w:r>
    </w:p>
    <w:p w14:paraId="412C963E" w14:textId="511420FF" w:rsidR="00D505B8" w:rsidRDefault="00D505B8" w:rsidP="00CD4C7B">
      <w:r>
        <w:t xml:space="preserve">For EN-DC, as said in above, for case of before EN-DC configured, RAN2 decided no static NeedForGap to NR capability added in LTE TS 36.331, and RAN2 sent LS [3] to RAN4 to check </w:t>
      </w:r>
      <w:r w:rsidRPr="00D505B8">
        <w:t>if the MR-DC band combination information reported in UE capability can be used to identify some cases where gapless measurements can be performed.</w:t>
      </w:r>
      <w:r>
        <w:t xml:space="preserve"> RAN4 haven’t reply this LS to RAN2.</w:t>
      </w:r>
    </w:p>
    <w:p w14:paraId="127837CC" w14:textId="7B049246" w:rsidR="00251732" w:rsidRDefault="00251732" w:rsidP="00251732">
      <w:r>
        <w:t xml:space="preserve">For SA mode, it also needs to discuss if NeedForGap should be supported in SA mode, for scell adding in CA at least. The NeedForGap reporting can be done by static full-set reporting or partial reporting by network enquiry. If RAN2 decides Rel-15 doesn’t introduce NeedForGap mechanism for SA as well, as for EN-DC, RAN2 needs to send LS to RAN4 to check if </w:t>
      </w:r>
      <w:r w:rsidRPr="00D505B8">
        <w:t xml:space="preserve">the </w:t>
      </w:r>
      <w:r>
        <w:t>NR</w:t>
      </w:r>
      <w:r w:rsidRPr="00D505B8">
        <w:t xml:space="preserve"> band combination information reported in UE capability can be used to identify some cases where gapless measurements can be performed</w:t>
      </w:r>
      <w:r>
        <w:t xml:space="preserve">, e.g., </w:t>
      </w:r>
      <w:r>
        <w:t xml:space="preserve">NR </w:t>
      </w:r>
      <w:r>
        <w:t>FR1+</w:t>
      </w:r>
      <w:r>
        <w:t xml:space="preserve"> NR </w:t>
      </w:r>
      <w:r>
        <w:t>FR2 band combination</w:t>
      </w:r>
      <w:r w:rsidRPr="00D505B8">
        <w:t>.</w:t>
      </w:r>
    </w:p>
    <w:p w14:paraId="0C42ABC2" w14:textId="77C17DAE" w:rsidR="00251732" w:rsidRPr="00251732" w:rsidRDefault="00251732" w:rsidP="00CD4C7B">
      <w:pPr>
        <w:rPr>
          <w:b/>
        </w:rPr>
      </w:pPr>
      <w:r w:rsidRPr="00251732">
        <w:rPr>
          <w:b/>
        </w:rPr>
        <w:t>Proposal1: RAN2 to decide if NeedForGap will not be supported for SA in Rel-15, which includes static full-set reporting and partial reporting by network enquiry.</w:t>
      </w:r>
    </w:p>
    <w:p w14:paraId="2F73D9E3" w14:textId="77777777" w:rsidR="00A72269" w:rsidRPr="00251732" w:rsidRDefault="00A72269" w:rsidP="00A72269">
      <w:pPr>
        <w:rPr>
          <w:b/>
        </w:rPr>
      </w:pPr>
      <w:r w:rsidRPr="00251732">
        <w:rPr>
          <w:b/>
        </w:rPr>
        <w:t xml:space="preserve">Proposal2: If RAN2 decides no NeedForGap supported in Rel-15, RAN2 sends LS to RAN4 to check if any NR band combination reported in UE capability can be used to identify gapless </w:t>
      </w:r>
      <w:r>
        <w:rPr>
          <w:b/>
        </w:rPr>
        <w:t>case in SA mode</w:t>
      </w:r>
      <w:r w:rsidRPr="00251732">
        <w:rPr>
          <w:b/>
        </w:rPr>
        <w:t>, e.g., NR FR1+ NR FR2 band combination.</w:t>
      </w:r>
    </w:p>
    <w:p w14:paraId="6CAFD58F" w14:textId="21D539C9" w:rsidR="00D505B8" w:rsidRPr="00160F07" w:rsidRDefault="00D505B8" w:rsidP="00160F07">
      <w:r>
        <w:t xml:space="preserve">After EN-DC established, network will use </w:t>
      </w:r>
      <w:r w:rsidRPr="00160F07">
        <w:rPr>
          <w:b/>
          <w:i/>
        </w:rPr>
        <w:t>independentGapConfig</w:t>
      </w:r>
      <w:r w:rsidRPr="00160F07">
        <w:t xml:space="preserve"> capability reported by UE to decide if per UE gap or per FR gap pattern can be configured to UE, which </w:t>
      </w:r>
      <w:r w:rsidR="00160F07" w:rsidRPr="00160F07">
        <w:t xml:space="preserve">per FR gap </w:t>
      </w:r>
      <w:r w:rsidRPr="00160F07">
        <w:t xml:space="preserve">can </w:t>
      </w:r>
      <w:r w:rsidR="00160F07" w:rsidRPr="00160F07">
        <w:t>avoid</w:t>
      </w:r>
      <w:r w:rsidRPr="00160F07">
        <w:t xml:space="preserve"> </w:t>
      </w:r>
      <w:r w:rsidR="00160F07" w:rsidRPr="00160F07">
        <w:t xml:space="preserve">unnecessary gap and data </w:t>
      </w:r>
      <w:r w:rsidRPr="00160F07">
        <w:t>interruption</w:t>
      </w:r>
      <w:r w:rsidR="00160F07" w:rsidRPr="00160F07">
        <w:t xml:space="preserve"> as one benefit. However, the capability is reported in </w:t>
      </w:r>
      <w:r w:rsidR="00160F07" w:rsidRPr="00160F07">
        <w:rPr>
          <w:b/>
          <w:i/>
        </w:rPr>
        <w:t>MeasParametersMRDC</w:t>
      </w:r>
      <w:r w:rsidR="00160F07" w:rsidRPr="00160F07">
        <w:t>, which is not used in SA mode.</w:t>
      </w:r>
    </w:p>
    <w:p w14:paraId="1ED790F9" w14:textId="77777777" w:rsidR="00160F07" w:rsidRDefault="00160F07" w:rsidP="00160F07">
      <w:pPr>
        <w:pStyle w:val="TAL"/>
      </w:pPr>
    </w:p>
    <w:p w14:paraId="5389413E" w14:textId="060E4DB6" w:rsidR="00D505B8" w:rsidRDefault="00D505B8" w:rsidP="00CD4C7B">
      <w:r w:rsidRPr="00D505B8">
        <w:drawing>
          <wp:inline distT="0" distB="0" distL="0" distR="0" wp14:anchorId="343D542D" wp14:editId="73AFF160">
            <wp:extent cx="6122035" cy="45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456325"/>
                    </a:xfrm>
                    <a:prstGeom prst="rect">
                      <a:avLst/>
                    </a:prstGeom>
                    <a:noFill/>
                    <a:ln>
                      <a:noFill/>
                    </a:ln>
                  </pic:spPr>
                </pic:pic>
              </a:graphicData>
            </a:graphic>
          </wp:inline>
        </w:drawing>
      </w:r>
    </w:p>
    <w:p w14:paraId="4E35B02F" w14:textId="0AA7F28A" w:rsidR="00160F07" w:rsidRDefault="00160F07" w:rsidP="00CD4C7B">
      <w:r>
        <w:t xml:space="preserve">In SA, one gNB can have cells deployed in FR1 and FR2 simultaneously. One SA mode UE can be configured in FR1+FR2 CA for high data rate. The </w:t>
      </w:r>
      <w:r w:rsidRPr="00160F07">
        <w:rPr>
          <w:b/>
          <w:i/>
        </w:rPr>
        <w:t>independentGapConfig</w:t>
      </w:r>
      <w:r>
        <w:t xml:space="preserve"> capability </w:t>
      </w:r>
      <w:r w:rsidR="00251732">
        <w:t>can be used to identify gapless</w:t>
      </w:r>
      <w:r>
        <w:t xml:space="preserve"> in SA as well.</w:t>
      </w:r>
      <w:r w:rsidR="00251732">
        <w:t xml:space="preserve"> RAN2 needs to check with RAN4 if the capability can be used in SA mode. If yes, RAN2 needs to add </w:t>
      </w:r>
      <w:r w:rsidR="00251732" w:rsidRPr="00A72269">
        <w:rPr>
          <w:i/>
        </w:rPr>
        <w:t>independentGapConfig</w:t>
      </w:r>
      <w:r w:rsidR="00251732" w:rsidRPr="00251732">
        <w:t xml:space="preserve"> in </w:t>
      </w:r>
      <w:r w:rsidR="00251732" w:rsidRPr="00A72269">
        <w:rPr>
          <w:i/>
        </w:rPr>
        <w:t>MeasParameters</w:t>
      </w:r>
      <w:r w:rsidR="00A72269">
        <w:t xml:space="preserve"> of </w:t>
      </w:r>
      <w:r w:rsidR="00A72269" w:rsidRPr="00A72269">
        <w:rPr>
          <w:i/>
        </w:rPr>
        <w:t>UE-NR-Capability</w:t>
      </w:r>
      <w:r w:rsidR="00251732" w:rsidRPr="00251732">
        <w:t>.</w:t>
      </w:r>
    </w:p>
    <w:p w14:paraId="1FE74CE4" w14:textId="77777777" w:rsidR="00A72269" w:rsidRPr="00A72269" w:rsidRDefault="00A72269" w:rsidP="00A72269">
      <w:pPr>
        <w:rPr>
          <w:b/>
        </w:rPr>
      </w:pPr>
      <w:r w:rsidRPr="00A72269">
        <w:rPr>
          <w:b/>
        </w:rPr>
        <w:lastRenderedPageBreak/>
        <w:t xml:space="preserve">Proposal3: RAN2 sends LS to RAN4 to check if </w:t>
      </w:r>
      <w:r w:rsidRPr="00A72269">
        <w:rPr>
          <w:b/>
          <w:i/>
        </w:rPr>
        <w:t>independentGapConfig</w:t>
      </w:r>
      <w:r w:rsidRPr="00A72269">
        <w:rPr>
          <w:b/>
          <w:i/>
        </w:rPr>
        <w:t xml:space="preserve"> </w:t>
      </w:r>
      <w:r w:rsidRPr="00A72269">
        <w:rPr>
          <w:b/>
        </w:rPr>
        <w:t xml:space="preserve">capability can be used to identify gapless case in SA mode. </w:t>
      </w:r>
    </w:p>
    <w:p w14:paraId="43A12B72" w14:textId="556908E4" w:rsidR="00CD4C7B" w:rsidRDefault="00CD4C7B" w:rsidP="00CD4C7B">
      <w:pPr>
        <w:pStyle w:val="Heading1"/>
      </w:pPr>
      <w:r w:rsidRPr="006E13D1">
        <w:t>4</w:t>
      </w:r>
      <w:r w:rsidRPr="006E13D1">
        <w:tab/>
      </w:r>
      <w:r w:rsidR="00A72269">
        <w:t>Conclusion</w:t>
      </w:r>
    </w:p>
    <w:p w14:paraId="3986FAC1" w14:textId="6542B325" w:rsidR="00A72269" w:rsidRPr="00A72269" w:rsidRDefault="00A72269" w:rsidP="00A72269">
      <w:r>
        <w:t xml:space="preserve">In this paper, we would RAN2 to clarify if NeedForGap will not be supported for SA in Rel-15. If RAN2 decides no it in Rel-15, LS to RAN4 is needed to seek clarification for SA mode on if any supported NR band combination reported by UE can be used to identify gapless case and if </w:t>
      </w:r>
      <w:r w:rsidRPr="00A72269">
        <w:rPr>
          <w:b/>
          <w:i/>
        </w:rPr>
        <w:t>independentGapConfig</w:t>
      </w:r>
      <w:r w:rsidRPr="00A72269">
        <w:rPr>
          <w:b/>
        </w:rPr>
        <w:t xml:space="preserve"> </w:t>
      </w:r>
      <w:r w:rsidRPr="00A72269">
        <w:t>capability can be used</w:t>
      </w:r>
      <w:r w:rsidRPr="00A72269">
        <w:t xml:space="preserve"> </w:t>
      </w:r>
      <w:r>
        <w:t xml:space="preserve">to </w:t>
      </w:r>
      <w:r>
        <w:t>identify gapless case</w:t>
      </w:r>
      <w:r w:rsidRPr="00A72269">
        <w:t xml:space="preserve"> in SA mode</w:t>
      </w:r>
    </w:p>
    <w:p w14:paraId="4CEA1B05" w14:textId="77777777" w:rsidR="00A72269" w:rsidRPr="00251732" w:rsidRDefault="00A72269" w:rsidP="00A72269">
      <w:pPr>
        <w:rPr>
          <w:b/>
        </w:rPr>
      </w:pPr>
      <w:r w:rsidRPr="00251732">
        <w:rPr>
          <w:b/>
        </w:rPr>
        <w:t>Proposal1: RAN2 to decide if NeedForGap will not be supported for SA in Rel-15, which includes static full-set reporting and partial reporting by network enquiry.</w:t>
      </w:r>
    </w:p>
    <w:p w14:paraId="4C1B63EF" w14:textId="6DEA0E51" w:rsidR="00A72269" w:rsidRPr="00251732" w:rsidRDefault="00A72269" w:rsidP="00A72269">
      <w:pPr>
        <w:rPr>
          <w:b/>
        </w:rPr>
      </w:pPr>
      <w:r w:rsidRPr="00251732">
        <w:rPr>
          <w:b/>
        </w:rPr>
        <w:t xml:space="preserve">Proposal2: If RAN2 decides no NeedForGap supported in Rel-15, RAN2 sends LS to RAN4 to check if any NR band combination reported in UE capability can be used to identify gapless </w:t>
      </w:r>
      <w:r>
        <w:rPr>
          <w:b/>
        </w:rPr>
        <w:t>case in SA mode</w:t>
      </w:r>
      <w:r w:rsidRPr="00251732">
        <w:rPr>
          <w:b/>
        </w:rPr>
        <w:t>, e.g., NR FR1+ NR FR2 band combination.</w:t>
      </w:r>
    </w:p>
    <w:p w14:paraId="0DA1B1AC" w14:textId="64FA7E85" w:rsidR="00A72269" w:rsidRPr="00A72269" w:rsidRDefault="00A72269" w:rsidP="00A72269">
      <w:pPr>
        <w:rPr>
          <w:b/>
        </w:rPr>
      </w:pPr>
      <w:r w:rsidRPr="00A72269">
        <w:rPr>
          <w:b/>
        </w:rPr>
        <w:t xml:space="preserve">Proposal3: RAN2 sends LS to RAN4 to check if </w:t>
      </w:r>
      <w:r w:rsidRPr="00A72269">
        <w:rPr>
          <w:b/>
          <w:i/>
        </w:rPr>
        <w:t>independentGapConfig</w:t>
      </w:r>
      <w:r w:rsidRPr="00A72269">
        <w:rPr>
          <w:b/>
          <w:i/>
        </w:rPr>
        <w:t xml:space="preserve"> </w:t>
      </w:r>
      <w:r w:rsidRPr="00A72269">
        <w:rPr>
          <w:b/>
        </w:rPr>
        <w:t xml:space="preserve">capability can be used </w:t>
      </w:r>
      <w:r w:rsidRPr="00A72269">
        <w:rPr>
          <w:b/>
        </w:rPr>
        <w:t xml:space="preserve">to </w:t>
      </w:r>
      <w:r w:rsidRPr="00A72269">
        <w:rPr>
          <w:b/>
        </w:rPr>
        <w:t xml:space="preserve">identify gapless case in SA mode. </w:t>
      </w:r>
    </w:p>
    <w:p w14:paraId="190C81D1" w14:textId="3EFB61F7" w:rsidR="00CD4C7B" w:rsidRPr="006E13D1" w:rsidRDefault="00CD4C7B" w:rsidP="00CD4C7B"/>
    <w:p w14:paraId="0FDCFAC2" w14:textId="77777777" w:rsidR="00CD4C7B" w:rsidRPr="006E13D1" w:rsidRDefault="00CD4C7B" w:rsidP="00CD4C7B">
      <w:pPr>
        <w:pStyle w:val="Heading1"/>
      </w:pPr>
      <w:r w:rsidRPr="006E13D1">
        <w:t>References</w:t>
      </w:r>
    </w:p>
    <w:p w14:paraId="4AA5C936" w14:textId="1646DD42" w:rsidR="00CD4C7B" w:rsidRDefault="00A72269" w:rsidP="00A72269">
      <w:pPr>
        <w:numPr>
          <w:ilvl w:val="0"/>
          <w:numId w:val="4"/>
        </w:numPr>
        <w:overflowPunct w:val="0"/>
        <w:autoSpaceDE w:val="0"/>
        <w:autoSpaceDN w:val="0"/>
        <w:adjustRightInd w:val="0"/>
        <w:textAlignment w:val="baseline"/>
      </w:pPr>
      <w:bookmarkStart w:id="1" w:name="_Ref75086397"/>
      <w:r w:rsidRPr="00A72269">
        <w:t>R2-1809801</w:t>
      </w:r>
      <w:bookmarkEnd w:id="1"/>
      <w:r w:rsidRPr="00A72269">
        <w:t xml:space="preserve"> </w:t>
      </w:r>
      <w:r w:rsidRPr="00A72269">
        <w:rPr>
          <w:i/>
          <w:iCs/>
        </w:rPr>
        <w:t xml:space="preserve">Measurement gap capability signalling for NR SA </w:t>
      </w:r>
      <w:r>
        <w:t>–</w:t>
      </w:r>
      <w:r w:rsidR="0090466A">
        <w:t xml:space="preserve"> </w:t>
      </w:r>
      <w:r>
        <w:t>Intel Corporation</w:t>
      </w:r>
    </w:p>
    <w:p w14:paraId="37A2F489" w14:textId="787C65F5" w:rsidR="00A72269" w:rsidRPr="00A72269" w:rsidRDefault="00A72269" w:rsidP="00A72269">
      <w:pPr>
        <w:numPr>
          <w:ilvl w:val="0"/>
          <w:numId w:val="4"/>
        </w:numPr>
        <w:overflowPunct w:val="0"/>
        <w:autoSpaceDE w:val="0"/>
        <w:autoSpaceDN w:val="0"/>
        <w:adjustRightInd w:val="0"/>
        <w:textAlignment w:val="baseline"/>
      </w:pPr>
      <w:r w:rsidRPr="00A72269">
        <w:t>R2-1810351</w:t>
      </w:r>
      <w:r>
        <w:t xml:space="preserve"> </w:t>
      </w:r>
      <w:r w:rsidRPr="00A72269">
        <w:rPr>
          <w:i/>
          <w:iCs/>
        </w:rPr>
        <w:t>Measurement gap capability feedback</w:t>
      </w:r>
      <w:r w:rsidRPr="00A72269">
        <w:rPr>
          <w:i/>
          <w:iCs/>
        </w:rPr>
        <w:tab/>
      </w:r>
      <w:r w:rsidRPr="00A72269">
        <w:rPr>
          <w:iCs/>
        </w:rPr>
        <w:t>Huawei</w:t>
      </w:r>
    </w:p>
    <w:p w14:paraId="57605B3E" w14:textId="2C85B444" w:rsidR="00A72269" w:rsidRDefault="00A72269" w:rsidP="00A72269">
      <w:pPr>
        <w:numPr>
          <w:ilvl w:val="0"/>
          <w:numId w:val="4"/>
        </w:numPr>
        <w:overflowPunct w:val="0"/>
        <w:autoSpaceDE w:val="0"/>
        <w:autoSpaceDN w:val="0"/>
        <w:adjustRightInd w:val="0"/>
        <w:textAlignment w:val="baseline"/>
      </w:pPr>
      <w:r>
        <w:rPr>
          <w:iCs/>
        </w:rPr>
        <w:t xml:space="preserve">R2- 1809203 </w:t>
      </w:r>
      <w:r w:rsidRPr="00A72269">
        <w:rPr>
          <w:i/>
          <w:iCs/>
        </w:rPr>
        <w:t>LS for UE capability of measurement gap for inter-RAT NR measurement not yet configured with EN-DC</w:t>
      </w:r>
      <w:r>
        <w:rPr>
          <w:iCs/>
        </w:rPr>
        <w:t xml:space="preserve"> RAN2</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34102" w14:textId="77777777" w:rsidR="005C256F" w:rsidRDefault="005C256F">
      <w:r>
        <w:separator/>
      </w:r>
    </w:p>
  </w:endnote>
  <w:endnote w:type="continuationSeparator" w:id="0">
    <w:p w14:paraId="28534B7F" w14:textId="77777777" w:rsidR="005C256F" w:rsidRDefault="005C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Helvetica">
    <w:altName w:val="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22A77" w14:textId="77777777" w:rsidR="005C256F" w:rsidRDefault="005C256F">
      <w:r>
        <w:separator/>
      </w:r>
    </w:p>
  </w:footnote>
  <w:footnote w:type="continuationSeparator" w:id="0">
    <w:p w14:paraId="664D528F" w14:textId="77777777" w:rsidR="005C256F" w:rsidRDefault="005C2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3F477F"/>
    <w:multiLevelType w:val="multilevel"/>
    <w:tmpl w:val="203F477F"/>
    <w:lvl w:ilvl="0">
      <w:start w:val="11"/>
      <w:numFmt w:val="bullet"/>
      <w:lvlText w:val="-"/>
      <w:lvlJc w:val="left"/>
      <w:pPr>
        <w:ind w:left="920" w:hanging="360"/>
      </w:pPr>
      <w:rPr>
        <w:rFonts w:ascii="Arial" w:eastAsia="Batang" w:hAnsi="Arial" w:cs="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22"/>
    <w:rsid w:val="00080512"/>
    <w:rsid w:val="00090468"/>
    <w:rsid w:val="000B7BCF"/>
    <w:rsid w:val="000C522B"/>
    <w:rsid w:val="000D58AB"/>
    <w:rsid w:val="00112F1A"/>
    <w:rsid w:val="00145075"/>
    <w:rsid w:val="00160F07"/>
    <w:rsid w:val="001741A0"/>
    <w:rsid w:val="00175FA0"/>
    <w:rsid w:val="00194CD0"/>
    <w:rsid w:val="001B49C9"/>
    <w:rsid w:val="001C4F79"/>
    <w:rsid w:val="001F168B"/>
    <w:rsid w:val="001F240D"/>
    <w:rsid w:val="001F7831"/>
    <w:rsid w:val="00204045"/>
    <w:rsid w:val="0020712B"/>
    <w:rsid w:val="0022606D"/>
    <w:rsid w:val="00231728"/>
    <w:rsid w:val="00251732"/>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77455"/>
    <w:rsid w:val="004A1F7B"/>
    <w:rsid w:val="004C44D2"/>
    <w:rsid w:val="004D3578"/>
    <w:rsid w:val="004D380D"/>
    <w:rsid w:val="004E213A"/>
    <w:rsid w:val="00503171"/>
    <w:rsid w:val="00506C28"/>
    <w:rsid w:val="00534DA0"/>
    <w:rsid w:val="00543E6C"/>
    <w:rsid w:val="005576E7"/>
    <w:rsid w:val="00565087"/>
    <w:rsid w:val="0056573F"/>
    <w:rsid w:val="005C256F"/>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90271F"/>
    <w:rsid w:val="00902DB9"/>
    <w:rsid w:val="0090466A"/>
    <w:rsid w:val="00936071"/>
    <w:rsid w:val="00940212"/>
    <w:rsid w:val="00942EC2"/>
    <w:rsid w:val="00961B32"/>
    <w:rsid w:val="00970DB3"/>
    <w:rsid w:val="00974BB0"/>
    <w:rsid w:val="00991EC7"/>
    <w:rsid w:val="009A0AF3"/>
    <w:rsid w:val="009B07CD"/>
    <w:rsid w:val="009C19E9"/>
    <w:rsid w:val="009D74A6"/>
    <w:rsid w:val="00A10F02"/>
    <w:rsid w:val="00A204CA"/>
    <w:rsid w:val="00A53724"/>
    <w:rsid w:val="00A72269"/>
    <w:rsid w:val="00A82346"/>
    <w:rsid w:val="00A9671C"/>
    <w:rsid w:val="00AA1553"/>
    <w:rsid w:val="00B055DC"/>
    <w:rsid w:val="00B05962"/>
    <w:rsid w:val="00B15449"/>
    <w:rsid w:val="00B27303"/>
    <w:rsid w:val="00B47FD1"/>
    <w:rsid w:val="00B516BB"/>
    <w:rsid w:val="00BC3555"/>
    <w:rsid w:val="00C12B51"/>
    <w:rsid w:val="00C24650"/>
    <w:rsid w:val="00C33079"/>
    <w:rsid w:val="00C83A13"/>
    <w:rsid w:val="00C83A4A"/>
    <w:rsid w:val="00C9068C"/>
    <w:rsid w:val="00C92967"/>
    <w:rsid w:val="00CA3D0C"/>
    <w:rsid w:val="00CA654B"/>
    <w:rsid w:val="00CD4C7B"/>
    <w:rsid w:val="00D33BE3"/>
    <w:rsid w:val="00D3792D"/>
    <w:rsid w:val="00D505B8"/>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7743"/>
    <w:rsid w:val="00F511B2"/>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TALCar">
    <w:name w:val="TAL Car"/>
    <w:link w:val="TAL"/>
    <w:rsid w:val="00D505B8"/>
    <w:rPr>
      <w:rFonts w:ascii="Arial" w:hAnsi="Arial"/>
      <w:sz w:val="18"/>
      <w:lang w:eastAsia="en-US"/>
    </w:rPr>
  </w:style>
  <w:style w:type="paragraph" w:styleId="CommentText">
    <w:name w:val="annotation text"/>
    <w:basedOn w:val="Normal"/>
    <w:link w:val="CommentTextChar"/>
    <w:uiPriority w:val="99"/>
    <w:qFormat/>
    <w:rsid w:val="00160F07"/>
    <w:pPr>
      <w:overflowPunct w:val="0"/>
      <w:autoSpaceDE w:val="0"/>
      <w:autoSpaceDN w:val="0"/>
      <w:adjustRightInd w:val="0"/>
      <w:spacing w:line="259" w:lineRule="auto"/>
      <w:textAlignment w:val="baseline"/>
    </w:pPr>
    <w:rPr>
      <w:rFonts w:ascii="Arial" w:hAnsi="Arial"/>
      <w:sz w:val="18"/>
      <w:lang w:eastAsia="ja-JP"/>
    </w:rPr>
  </w:style>
  <w:style w:type="character" w:customStyle="1" w:styleId="CommentTextChar">
    <w:name w:val="Comment Text Char"/>
    <w:basedOn w:val="DefaultParagraphFont"/>
    <w:link w:val="CommentText"/>
    <w:uiPriority w:val="99"/>
    <w:qFormat/>
    <w:rsid w:val="00160F07"/>
    <w:rPr>
      <w:rFonts w:ascii="Arial" w:hAnsi="Arial"/>
      <w:sz w:val="18"/>
      <w:lang w:eastAsia="ja-JP"/>
    </w:rPr>
  </w:style>
  <w:style w:type="character" w:styleId="CommentReference">
    <w:name w:val="annotation reference"/>
    <w:qFormat/>
    <w:rsid w:val="00160F07"/>
    <w:rPr>
      <w:sz w:val="16"/>
      <w:szCs w:val="16"/>
    </w:rPr>
  </w:style>
  <w:style w:type="paragraph" w:customStyle="1" w:styleId="Doc-title">
    <w:name w:val="Doc-title"/>
    <w:basedOn w:val="Normal"/>
    <w:next w:val="Normal"/>
    <w:link w:val="Doc-titleChar"/>
    <w:qFormat/>
    <w:rsid w:val="00A722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A72269"/>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7256130">
      <w:bodyDiv w:val="1"/>
      <w:marLeft w:val="0"/>
      <w:marRight w:val="0"/>
      <w:marTop w:val="0"/>
      <w:marBottom w:val="0"/>
      <w:divBdr>
        <w:top w:val="none" w:sz="0" w:space="0" w:color="auto"/>
        <w:left w:val="none" w:sz="0" w:space="0" w:color="auto"/>
        <w:bottom w:val="none" w:sz="0" w:space="0" w:color="auto"/>
        <w:right w:val="none" w:sz="0" w:space="0" w:color="auto"/>
      </w:divBdr>
      <w:divsChild>
        <w:div w:id="1197892136">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2</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5</cp:revision>
  <dcterms:created xsi:type="dcterms:W3CDTF">2018-08-10T06:31:00Z</dcterms:created>
  <dcterms:modified xsi:type="dcterms:W3CDTF">2018-08-10T06:48:00Z</dcterms:modified>
</cp:coreProperties>
</file>